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07 92 vom 27. Oktober 2008</w:t>
      </w:r>
    </w:p>
    <w:p>
      <w:r>
        <w:t>VS Kantonsgericht, 2008-10-27, DE</w:t>
      </w:r>
    </w:p>
    <w:p>
      <w:r>
        <w:rPr>
          <w:b/>
        </w:rPr>
        <w:t xml:space="preserve">Quelle: </w:t>
      </w:r>
      <w:r>
        <w:t>https://mcp.opencaselaw.ch/entscheid/vs_gerichte_S2 07 92</w:t>
      </w:r>
    </w:p>
    <w:p>
      <w:r>
        <w:t>FR: VS_GERICHTE S2 07 92 du 27 octobre 2008</w:t>
      </w:r>
    </w:p>
    <w:p>
      <w:r>
        <w:t>IT: VS_GERICHTE S2 07 92 del 27 ottobre 2008</w:t>
      </w:r>
    </w:p>
    <w:p>
      <w:pPr>
        <w:pStyle w:val="Heading2"/>
      </w:pPr>
      <w:r>
        <w:t>Regeste</w:t>
      </w:r>
    </w:p>
    <w:p>
      <w:r>
        <w:t>RVJ/ZWR 2010 81 Krankenversicherung Assurance maladie KVG (Sozialversicherungsrechtliche Abteilung) vom 27. Oktober 2008 Taggeldanspruch - Anzeigepflicht – Das KVG und dessen Verordnung enthalten keine Bestimmungen über die Pflicht zur Meldung eines Krankheitsfalles oder der eingetretenen Arbeitsunfähigkeit. Entsprechend haben sie auch keine Sanktionen bei Verletzung der Anzeige- pflicht vorgesehen. – Nach der zum KUVG ergangenen Rechtsprechung ist es bei fehlender gesetzli- cher Bestimmung Sache der Krankenkassen, in ihren Statuten oder Reglementen zum Zwecke rechtzeitiger Wahrnehmung ihrer Kontrollfunktionen die Anzeige- pflicht vorzuschreiben und die Folgen von deren Verletzung festzulegen. Droit à l’indemnité journalière; obligation d’annoncer – La LAMal et ses ordonnances d’application ne comportent aucune disposition rela- tive au devoir d’annoncer un cas de maladie ou d’incapacité de travail. Elles ne pré- voient, par conséquent, aucune sanction pour violation de l’obligation d’annoncer. – Selon la jurisprudence fondée sur l’ancienne LAMA, il incombe, en cas de lacune législative, aux caisses maladie de prévoir l’obligation d’annoncer dans leurs sta-</w:t>
      </w:r>
    </w:p>
    <w:p>
      <w:pPr>
        <w:pStyle w:val="Heading2"/>
      </w:pPr>
      <w:r>
        <w:t>Erwägungen</w:t>
      </w:r>
    </w:p>
    <w:p>
      <w:r>
        <w:rPr>
          <w:b/>
        </w:rPr>
        <w:t>E. 2</w:t>
      </w:r>
    </w:p>
    <w:p>
      <w:r>
        <w:t>Streitig ist, ob die Beschwerdeführerin in der Zeit vom 23. Februar bis zum 21. Dezember 2004 krankheitsbedingt arbeitsunfähig war und ihr damit auch für diese Zeit ein Anspruch auf Taggelder zusteht (Art. 72 Abs. 2 KVG). Unbestritten ist, dass die Versicherte kei- nerlei Ansprüche auf Taggelder für Mutterschaft geltend machen kann, da die gesetzlich vorgeschriebene Karenzfrist nicht erfüllt ist. Insofern die Leiden in Zusammenhang mit der Schwangerschaft stehen, entfällt daher ein Taggeldanspruch aus diesem Grund, was auf die geklagte Übelkeit und die Rückenbeschwerden zutrifft.</w:t>
      </w:r>
    </w:p>
    <w:p>
      <w:r>
        <w:rPr>
          <w:b/>
        </w:rPr>
        <w:t>E. 3</w:t>
      </w:r>
    </w:p>
    <w:p>
      <w:r>
        <w:t>Abs. 1 ATSG genannten Kriterien der Krankheitswert erreicht ist, liegt eine Krankheit im Rechtssinne vor (Kieser, ATSG-Kommentar, Art. 3, Rz. 7; Eugster, Krankenversicherung, in: Schweizerisches Bundesverwal- tungsrecht, S. 41, Rz. 80 ff. [fortan Krankenversicherung]). In der Litera- tur ist man sich daher einig, dass die seelischen Belastungen infolge ehe- licher, familiärer, schulischer oder beruflicher Probleme keine Krankhei- ten sind (Eugster, Krankenversicherung, S. 41, Rz. 84; Wagner, Définiti- ons, in: LAMal-KVG, Recueil de travaux en l’honneur de la Société suisse 84 RVJ/ZWR 2010</w:t>
      </w:r>
    </w:p>
    <w:p>
      <w:r>
        <w:t>RVJ/ZWR 2010 85 de droit des assurances, S. 112 Fn. 44). Die blosse Beeinträchtigung des sozialen Wohlbefindens ist daher keine Krankheit. b) Für den Fall einer Krankheit kann eine Taggeldversicherung abgeschlossen werden. Das versicherte Taggeld wird vom Versicherer mit dem Versicherungsnehmer vereinbart (Art. 72 Abs. 1 KVG). Der Gesetzgeber hat in Art. 72 KVG einige zwingende Bestimmungen namentlich zum Anspruchsbeginn (Abs. 2), zur Dauer des Anspruchs (Abs. 3), zur Kürzung der Leistung bei teilweiser Arbeitsunfähigkeit (Abs. 4) und bei Überentschädigung (Abs. 5) erlassen. Die Detailgestal- tung hat er dagegen weit gehend der Vertragsautonomie der Beteilig- ten überlassen (BGE 125 V 116 Erw. 2e, 124 V 205 Erw. 3d). Diese (Ver- trags-) Autonomie muss sich an den allgemeinen Rechtsgrundsätzen orientieren (Eugster, Zum Leistungsrecht der Taggeldversicherung nach KVG, in: LAMal-KVG, Recueil de travaux en l’honneur de la Société suisse de droit des assurances, S. 551). Die freiwillige Taggeldversiche- rung nach Art. 67 ff. KVG bezweckt die Deckung des Erwerbsausfalls infolge von Krankheit, Unfall oder Mutterschaft; sie ist also eine reine Erwerbsausfallversicherung (BBl 1992 I S. 138). Der Taggeldanspruch entsteht, wenn die versicherte Person min- destens zur Hälfte arbeitsunfähig ist (Art. 72 Abs. 2 Satz 1 KVG und Art.</w:t>
      </w:r>
    </w:p>
    <w:p>
      <w:r>
        <w:rPr>
          <w:b/>
        </w:rPr>
        <w:t>E. 6</w:t>
      </w:r>
    </w:p>
    <w:p>
      <w:r>
        <w:t>ATSG). Die Arbeitsunfähigkeit ist in der Regel gegeben, wenn eine Per- son ihre bisherige Tätigkeit infolge des Gesundheitszustandes nicht mehr oder nur noch beschränkt oder nur unter der Gefahr, ihren Gesundheitszustand zu verschlimmern, auszuüben vermag (BGE 114 V 283 Erw. 1c, 111 V 239 Erw. 1b; RKUV 1998 Nr. KV 45 S. 430). Bei langer Dauer wird auch die zumutbare Tätigkeit in einem anderen Beruf oder Aufgabenbereich berücksichtigt (Art. 6 ATSG). c) Das KVG und dessen Verordnung enthalten keine Bestimmungen über die Pflicht zur Meldung eines Krankheitsfalles oder der eingetrete- nen Arbeitsunfähigkeit. Entsprechend haben sie auch keine Sanktionen bei Verletzung der Anzeigepflicht vorgesehen. Nach der zum KUVG ergangenen Rechtsprechung ist es bei fehlender gesetzlicher Bestim- mung Sache der Krankenkassen, in ihren Statuten oder Reglementen zum Zwecke rechtzeitiger Wahrnehmung ihrer Kontrollfunktionen die Anzeigepflicht vorzuschreiben und die Folgen von deren Verletzung festzulegen. Ordnungsvorschriften, wonach Leistungen bis zum Zeit- punkt der ordnungsgemässen Meldung verweigert werden, wenn vom Versicherten die rechtzeitige Meldung vernünftigerweise verlangt wer- den kann, hat das Eidgenössische Versicherungsgericht als grundsätz-</w:t>
      </w:r>
    </w:p>
    <w:p>
      <w:r>
        <w:t>lich nicht bundesrechtswidrig betrachtet. Erscheint dagegen eine Pflichtverletzung nach den Umständen als entschuldbar, so darf damit in der Regel keine Sanktion verbunden werden; zudem darf die Sanktion nicht gegen den Grundsatz der Verhältnismässigkeit verstossen (BGE 104 V 10 Erw. 2 und RKUV 1990 Nr. K 829 S. 4 Erw. 2a, je mit Hinweisen). Diese Rechtsprechung ist auch unter der Herrschaft des auf den 1. Januar 1996 in Kraft getretenen KVG anwendbar (BGE 127 V 154). d) Die Beweiskraft eines medizinischen Gutachtens hängt nach der Rechtsprechung (BGE 125 V 352 Erw. 3a, 122 V 160 Erw. 1c mit Hin- weisen) unter anderem davon ab, ob es in der Darlegung der medizi- nischen Zustände, Entwicklungen und Zusammenhänge einleuchtet und ob die Schlussfolgerungen des Experten so begründet sind, dass der Rechtsanwender sie kritisch prüfend nachvollziehen kann (Meyer- Blaser, Das medizinische Gutachten aus sozialversicherungsrechtli- cher Sicht, in: A.M. Siegel/D. Fischer (Hrsg.), Die neurologische Begut- achtung, S. 97; ders., Sozialversicherungsrecht und Medizin, in: Fre- denhagen, Das ärztliche Gutachten, S. 25). Die Begründung der von einem Gutachter aus den verwerteten Vorakten und den von ihm selbst erhobenen Befunden gezogenen Schlussfolgerungen ist der essentielle Teil jedes Gutachtens. Hier hat der Gutachter die Gedan- kengänge im Einzelnen darzulegen, aufgrund derer er zu seinen Schlussfolgerungen gelangt.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Erw. 3a, 122 V 160 f. Erw. 1c mit weiteren Hinweisen). In Bezug auf Berichte von Hausärzten darf und soll der Richter der Erfahrungstat- sache Rechnung tragen, dass Hausärzte mitunter im Hinblick auf ihre auftragsrechtliche Vertrauensstellung in Zweifelsfällen eher zu Gun- sten ihrer Patienten aussagen. Auch den Berichten und Gutachten ver- sicherungsinterner Ärzte kommt schliesslich Beweiswert zu, sofern sie als schlüssig erscheinen, nachvollziehbar begründet sowie in sich widerspruchsfrei sind und keine Indizien gegen ihre Zuverlässigkeit 86 RVJ/ZWR 2010</w:t>
      </w:r>
    </w:p>
    <w:p>
      <w:r>
        <w:t>RVJ/ZWR 2010 87 bestehen. Die Tatsache allein, dass der befragte Arzt in einem Anstel- lungsverhältnis zum Versicherungsträger steht, lässt nicht schon auf mangelnde Objektivität und auf Befangenheit schliessen (BGE 125 V 351 Erw. 3ee mit weiteren Hinweisen). 4. a) Die Krankenkasse Goms stützte sich in ihrem ablehnenden Einspracheentscheid bei der Beurteilung der Arbeitsfähigkeit auf die Ausführungen des Vertrauensarztes Dr. E., würdigte diese als glaub- haft und tat die Angaben des Hausarztes Dr. B. als nicht begründet ab. Demgegenüber vertritt die Beschwerdeführerin die Auffassung, die Arbeitsunfähigkeit sei medizinisch ausgewiesen. b) Aufgrund der Akten steht fest, dass die Krankschreibung auf- grund einer schwierigen Arbeitssituation erfolgte. Die Vertrauensärzte der Krankenkasse Dres. D. und E. kamen unter Berücksichtigung sämt- licher medizinischer Unterlagen zum Schluss, dass die Versicherte nicht unter einem körperlichen oder psychischen Gebrechen litt. Viel- mehr lag gemäss subjektiven Angaben der Versicherten eine belastende Arbeitssituation vor. Diese vermag jedoch wie unter Erw. 3a dargelegt, den Begriff der Krankheit im Rechtssinne nicht zu erfüllen. Seelische Belastungen infolge beruflicher Probleme sind keine Krankheiten. Die Vorbringen der Beschwerdeführerin, ihr Hausarzt Dr. B. habe sie krank geschrieben, vermögen daran nichts zu ändern. Dieser verneinte näm- lich in seinem ersten begründeten Zeugnis vom 24. Mai 2004 ebenfalls das Vorliegen einer Krankheit im engeren Sinne und hielt als Befund eine Mobbingsituation fest, wobei er der Versicherten die Ausübung der bis- herigen Tätigkeit weiterhin zumutete. Dass er in einem späteren Zeug- nis diese Aussagen zum Teil widerrief, ist unbehelflich. Bei sich wider- sprechenden Angaben kommt nämlich der Erstaussage erhöhtes Gewicht zu, da sie in der Regel unbefangener und zuverlässiger ist als spätere Darstellungen, die bewusst oder unbewusst von nachträglichen Überlegungen versicherungsrechtlicher oder anderer Art beeinflusst sein können (BGE 121 V 47 Erw. 2a; SVR 1996 UV Nr. 47 145f. Erw. 2). Im Übrigen erinnert das Gericht an die Tatsache, dass Hausärzten aufgrund ihrer besonderen Stellung zum Patienten mitunter in Zweifelsfällen eher zu Gunsten ihrer Patienten aussagen (vgl. Erw. 3d). Demgegenüber steht ein unbeteiligter Experte in einer anderen Position gegenüber dem Ver- sicherten, was eine neutrale und objektive Schlussfolgerung ermög- licht. In Anbetracht der ärztlichen Angaben bestand keine Krankheit im Rechtssinne, weshalb die Verweigerung der Ausrichtung der Taggelder schon aus diesem Grund zu Recht erfolgt ist. Überdies ist auch keine</w:t>
      </w:r>
    </w:p>
    <w:p>
      <w:r>
        <w:t>ärztliche Behandlung dokumentiert. Weitere Akten, die einen anderen Schluss zulassen würden, wurden, trotz Aufforderung seitens der Kran- kenkasse, solche einzureichen (Schreiben vom 30. August 2004 und vom 5. Mai 2006), nicht hinterlegt. Insbesondere konnte die von der Beschwerdeführerin behauptete Gefährdung hinsichtlich des ungebo- renen Kindes nicht belegt werden. Mithin ist auch nicht ausgewiesen, dass die Belastung beruflicher Art eine Erkrankung zur Folge hatte. c) Im Weiteren datiert die ärztliche Bescheinigung der Arbeitsunfä- higkeit für die Zeit vom 23. Februar 2004 bis zum 21. Dezember 2004 vom 17. Dezember 2004 und ging am 19. Januar 2005 bei der Krankenkasse ein. Dieses rückwirkend ausgestellte Zeugnis beruht auf zwei Konsultationen (im März und im Oktober) bei Dr. B.. Der behandelnde Gynäkologe Dr. F. hat demgegenüber für die entsprechende Periode nie ausdrücklich eine Arbeitsunfähigkeit bestätigt. Die ihnen obliegenden Kontrollaufgaben können die Krankenversicherer aber nur wahrnehmen, wenn sie rechtzei- tig vom anspruchsbegründenden Sachverhalt Kenntnis erhalten (Urteil K 70/01 vom 09. Oktober 2001). Die in Reglementen oder Statuten vorgese- hene Meldepflicht soll diese Kontrolle erleichtern (Urteil K 129/00 vom 20. Juni 2001 Erw. 4b; ZESO 2001 Seite 140). Nach Art. 12 lit. c der Bestimmun- gen über die Einzeltaggeldversicherung Moneta VVG sind Taggeldansprü- che mindestens einmal pro Monat der Kasse zu melden. Bei verspäteter Einreichung besteht frühestens ab Eingang des ärztlichen Zeugnisses Anspruch auf das Taggeld. Rückdatierungen sind unzulässig. Mithin hat die Krankenkasse für den Fall der Einreichung verspäteter Arztzeugnisse die Sanktion der Leistungseinstellung bis zur Einreichung der Bestätigung ausdrücklich kodifiziert. In tatsächlicher Hinsicht steht in casu fest, dass die Arbeitsunfähigkeit nicht im Sinne des Reglements der Krankentag- geldversicherung (Erneuerung mindestens alle 30 Tage) mit ärztlichem Attest gemeldet und belegt wurde. Bei dieser Ausgangslage ist es nicht zu beanstanden, wenn die Kasse das Fehlverhalten der Versicherten zum Anlass nahm, von der reglementarisch vorgesehenen Rechtsfolge, der Leistungsverweigerung für den nicht von einer rechtzeitig erneuerten Meldung erfassten Zeitraum, Gebrauch zu machen, weshalb auch unter diesem Gesichtswinkel die Beschwerde abzuweisen ist. d) Der Vollständigkeit halber bleibt darauf hinzuweisen, dass die freiwillige Taggeldversicherung nach Art. 6 der Bestimmungen über die Einzeltaggeldversicherung Moneta VVG die Deckung des Erwerbsaus- falls infolge von Krankheit bezweckt. Da die Beschwerdeführerin ab dem 26. Mai 2004 in gekündigter Stellung war, wäre der Taggeldan- spruch ab diesem Zeitpunkt in jedem Fall erloschen. 88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